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«Инновации в высшем образовании»,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Педагогическое сопровождение исследовательской работы обучающихся</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«Инновации в высшем образовании»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205"/>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научно- исследовательский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657.17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/Шмачилина-Цибенко С.В./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«Инновации в высшем образовании»;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«Педагогическое сопровождение исследовательской работы обучающихся»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44.04.01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«Педагогическое сопровождение исследовательской работы обучающихся».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«Педагогическое сопровождение исследовательской работы обучающихся»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уметьпроектировать  программы исследования  в  рамках  выбранной проблематики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имеющиеся педагогические условия и проектировать педагогические условия для развития группы обучающихся в системе высшего образования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нормативно-правовые акты, определяющие современную государственную молодежную политику</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требования ФГОС к компетенциям выпускников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способы педагогической диагностики и условия развития ценностно- смысловой, эмоционально-волевой, потребностно-мотивационной, интеллектуальной сфер обучающихся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обеспечивать педагогическое  сопровождение формирования  и деятельности органов  студенческого самоуправления,  использовать средства формирования  и развития организационной  культуры  группы обучающих</w:t>
            </w:r>
          </w:p>
        </w:tc>
      </w:tr>
      <w:tr>
        <w:trPr>
          <w:trHeight w:hRule="exact" w:val="395.42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оказывать методическую  помощь  активу группы,  мотивировать  участие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обучающихся  в  разных  видах общественной  деятельности, содействовать формированию лидерских  качеств  и  нравственных ценностей обучающихся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методами, формами,  приемами  и  средствами организации общения и деятельности  обучающихся  группы  с  учетом  их  возрастных  и индивидуальных особенностей</w:t>
            </w:r>
          </w:p>
        </w:tc>
      </w:tr>
      <w:tr>
        <w:trPr>
          <w:trHeight w:hRule="exact" w:val="277.83"/>
        </w:trPr>
        <w:tc>
          <w:tcPr>
            <w:tcW w:w="9640" w:type="dxa"/>
          </w:tcP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возможные потребности обучающихся, проектировать и реализовывать их индивидуальные маршруты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особенности проектирования  индивидуальных образовательных маршрутов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механизмы адаптации  обучающихся к  особенностям  образовательного процесса  в  образовательной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знать техники  и  приемы общения  с  учетом  возрастных  и индивидуальных особенностей собеседников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уметь оказывать  помощь обучающимся в удовлетворении его потребностей  в интеллектуальном, культурном, нравственном развитии, профессиональном самоопределении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ПК-6.5 уметь оказывать  помощь обучающимся в удовлетворении его потребностей  в выборе образовательной  траектории,  в планировании  самостоятельной работы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владеть приемами педагогического    проектирования индивидуальных образовательных маршрутов  для  формирования  у обучающихся  устойчивого, позитивного  отношения  к  своей будущей профессии</w:t>
            </w:r>
          </w:p>
        </w:tc>
      </w:tr>
      <w:tr>
        <w:trPr>
          <w:trHeight w:hRule="exact" w:val="277.8299"/>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руководить работой команды, вырабатывая командную стратегию для достижения поставленной цели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способы выстраивания стратегии сотрудничества для достижения поставленной  цели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особенности поведения и общения разных людей</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знать разные виды коммуникации (устную, письменную, вербальную, невербальную, реальную, виртуальную, межличностную и др.)</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знать этические нормы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уметь определять роль каждого участника в команде в соответствии с личностными особенностями и профессиональными качествами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уметь учитывать в совместной деятельности особенности поведения и общения разных людей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осуществлять руководство командой и достижением поставленной цели на основе разных видов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видеть результаты  (последствия) личных действий, планировать последовательность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УК-3.9 уметь эффективно взаимодействовать с членами команды, в т.ч. участвовать в обмене информацией, знаниями и опытом и презентации результатов работы команды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УК-3.10 владеть способами контроля выполнения последовательности шагов для достижения поставленной цели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УК-3.11 владеть навыками соблюдения норм профессиональной этики, участвуя во взаимодействии с другими членами команды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«Педагогическое сопровождение исследовательской работы обучающихся» относится к обязательной части, является дисциплиной Блока Б1. «Дисциплины (модули)». Модуль "Организация исследовательской деятельности в образовательной организации"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знания и умения сформированные в процессе обучения на уровне бакалавриата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политика в области образования</w:t>
            </w:r>
          </w:p>
          <w:p>
            <w:pPr>
              <w:jc w:val="center"/>
              <w:spacing w:after="0" w:line="240" w:lineRule="auto"/>
              <w:rPr>
                <w:sz w:val="22"/>
                <w:szCs w:val="22"/>
              </w:rPr>
            </w:pPr>
            <w:r>
              <w:rPr>
                <w:rFonts w:ascii="Times New Roman" w:hAnsi="Times New Roman" w:cs="Times New Roman"/>
                <w:color w:val="#000000"/>
                <w:sz w:val="22"/>
                <w:szCs w:val="22"/>
              </w:rPr>
              <w:t> Научно-методическое сопровождение инновационных процессов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профессионального образования</w:t>
            </w:r>
          </w:p>
          <w:p>
            <w:pPr>
              <w:jc w:val="center"/>
              <w:spacing w:after="0" w:line="240" w:lineRule="auto"/>
              <w:rPr>
                <w:sz w:val="22"/>
                <w:szCs w:val="22"/>
              </w:rPr>
            </w:pPr>
            <w:r>
              <w:rPr>
                <w:rFonts w:ascii="Times New Roman" w:hAnsi="Times New Roman" w:cs="Times New Roman"/>
                <w:color w:val="#000000"/>
                <w:sz w:val="22"/>
                <w:szCs w:val="22"/>
              </w:rPr>
              <w:t> Проектирование инновационной деятельности современного педагога</w:t>
            </w:r>
          </w:p>
          <w:p>
            <w:pPr>
              <w:jc w:val="center"/>
              <w:spacing w:after="0" w:line="240" w:lineRule="auto"/>
              <w:rPr>
                <w:sz w:val="22"/>
                <w:szCs w:val="22"/>
              </w:rPr>
            </w:pPr>
            <w:r>
              <w:rPr>
                <w:rFonts w:ascii="Times New Roman" w:hAnsi="Times New Roman" w:cs="Times New Roman"/>
                <w:color w:val="#000000"/>
                <w:sz w:val="22"/>
                <w:szCs w:val="22"/>
              </w:rPr>
              <w:t> Особенности профессиональной деятельности преподавателя современного вуза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ПК-4, ПК-6, УК-3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Организация научного исследова-ния в системе педагогического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Исследовательская деятельность студента как вид самостоятельной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Методы и методики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Модель формирования исследовательских компетенций в системе педагогического образова- 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Интерактивные формы и методы организации научно-исследовательской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Оценка исследовательских компетенций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Курсовая работа как комплексная профес- сиональная проба в исследовательской деятельно- 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Педагогическое сопровождение исследова- тельской работы обучающихся по подготовке ВКР (магистерской диссертации) Образцы и ошибки в тексте ВКР (магистерской диссертации).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27.2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Организация научного исследова-ния в системе педагогического обра- зования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Трансформации педагогического образования. Подготовка педагога «новой форма-ции» и современные модели педагогического образования. Приоритет научно-исследовательской деятельности студентов. Полифункциональность педагогической дея-тельности.</w:t>
            </w:r>
          </w:p>
          <w:p>
            <w:pPr>
              <w:jc w:val="both"/>
              <w:spacing w:after="0" w:line="240" w:lineRule="auto"/>
              <w:rPr>
                <w:sz w:val="24"/>
                <w:szCs w:val="24"/>
              </w:rPr>
            </w:pPr>
            <w:r>
              <w:rPr>
                <w:rFonts w:ascii="Times New Roman" w:hAnsi="Times New Roman" w:cs="Times New Roman"/>
                <w:color w:val="#000000"/>
                <w:sz w:val="24"/>
                <w:szCs w:val="24"/>
              </w:rPr>
              <w:t> Методическая деятельность педагога. Собственно педагогическая деятельность как работа педагога в режиме непосредственного и опосредованного взаимодействия с участ- никами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Организаторская деятельность. Проведение учебных (лекция, практическое занятие, тренинг и пр.) и внеучебных мероприятий (олимпиады, конкурсы, КВНы, праздники, фестивали, конференции, мастер-классы, дискуссионные площадки и пр.). Исследовательская деятельность.</w:t>
            </w:r>
          </w:p>
          <w:p>
            <w:pPr>
              <w:jc w:val="both"/>
              <w:spacing w:after="0" w:line="240" w:lineRule="auto"/>
              <w:rPr>
                <w:sz w:val="24"/>
                <w:szCs w:val="24"/>
              </w:rPr>
            </w:pPr>
            <w:r>
              <w:rPr>
                <w:rFonts w:ascii="Times New Roman" w:hAnsi="Times New Roman" w:cs="Times New Roman"/>
                <w:color w:val="#000000"/>
                <w:sz w:val="24"/>
                <w:szCs w:val="24"/>
              </w:rPr>
              <w:t> Исследовательские компоненты в образовательных программах. Связь исследова- тельской деятельности с практикой и будущей профессиональной деятельностью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Исследовательская деятельность студента как вид самостоятельной работы</w:t>
            </w:r>
          </w:p>
        </w:tc>
      </w:tr>
      <w:tr>
        <w:trPr>
          <w:trHeight w:hRule="exact" w:val="3332.4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исследовательской деятельности. Виды исследовательской деятельно-сти и исследовательские компетенции студентов. Научно-исследовательская деятель-ность. Учебно-исследовательская деятельность. Сходство и отличие данных видов дея- тельности. Исследовательская компетентность и исследовательские компетенции. Струк- тура исследовательской деятельности. Основные характеристики исследовательских ком- петенций. Основные стратегии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Методология исследовательской деятельности. Логика и методологические характе- ристики исследовательской деятельности.</w:t>
            </w:r>
          </w:p>
          <w:p>
            <w:pPr>
              <w:jc w:val="both"/>
              <w:spacing w:after="0" w:line="240" w:lineRule="auto"/>
              <w:rPr>
                <w:sz w:val="24"/>
                <w:szCs w:val="24"/>
              </w:rPr>
            </w:pPr>
            <w:r>
              <w:rPr>
                <w:rFonts w:ascii="Times New Roman" w:hAnsi="Times New Roman" w:cs="Times New Roman"/>
                <w:color w:val="#000000"/>
                <w:sz w:val="24"/>
                <w:szCs w:val="24"/>
              </w:rPr>
              <w:t> Особенности исследовательской деятельности. Виды исследовательской деятельно-сти и исследовательские компетенции студентов. Научно-исследовательская деятель-ность. Учебно-исследовательская деятельность. Сходство и отличие данных видов дея- тельности. Исследовательская компетентность и исследовательские компетенции. Струк-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тура исследовательской деятельности. Основные характеристики исследовательских ком- петенций. Основные стратегии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Методология исследовательской деятельности. Логика и методологические характе- ристики исследовательской деятельности.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Методы и методики исследовательской деятельности.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метод. Разнообразие в классификации методов исследования. Эмпириче-ские методы: изучение литературы, рукописей, документов, материалов на электронных носителях и других источников как средств, содержащих факты, характеризующие исто- рию и современное состояние изучаемого объекта.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исследования. Герменевтические методы исследования.</w:t>
            </w:r>
          </w:p>
          <w:p>
            <w:pPr>
              <w:jc w:val="both"/>
              <w:spacing w:after="0" w:line="240" w:lineRule="auto"/>
              <w:rPr>
                <w:sz w:val="24"/>
                <w:szCs w:val="24"/>
              </w:rPr>
            </w:pPr>
            <w:r>
              <w:rPr>
                <w:rFonts w:ascii="Times New Roman" w:hAnsi="Times New Roman" w:cs="Times New Roman"/>
                <w:color w:val="#000000"/>
                <w:sz w:val="24"/>
                <w:szCs w:val="24"/>
              </w:rPr>
              <w:t> Методы теоретического исследования. Своеобразие метода теоретического анализа и синтеза. Виды анализа. Методы абстрагирования и конкретизации. Метод моделирова- ния. Мысленный эксперимент как особый вид моделирования. Комплексные методики: психолого-педагогическое обследование, изучение и обобщение педагогического опыта, опытная педагогическая работа и комплексный педагогический эксперимент и их содер- жательная характеристика.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Модель формирования исследовательских компетенций в системе педагогического образова-ния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заказ на исследовательские компетенции и нормативные документы. Причины разрыва между профессиональными и образовательными стандартами. Профес- сиональные пробы как приближение образовательной ситуации к реальной практике. Це- лостный исследовательский цикл и его компоненты. Условия эффективного формирова- ния исследовательских компетенций у студентов.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Интерактивные формы и методы организации научно-исследовательской деятельности студентов</w:t>
            </w:r>
          </w:p>
        </w:tc>
      </w:tr>
      <w:tr>
        <w:trPr>
          <w:trHeight w:hRule="exact" w:val="21.31518"/>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дискуссии</w:t>
            </w:r>
          </w:p>
          <w:p>
            <w:pPr>
              <w:jc w:val="left"/>
              <w:spacing w:after="0" w:line="240" w:lineRule="auto"/>
              <w:rPr>
                <w:sz w:val="24"/>
                <w:szCs w:val="24"/>
              </w:rPr>
            </w:pPr>
            <w:r>
              <w:rPr>
                <w:rFonts w:ascii="Times New Roman" w:hAnsi="Times New Roman" w:cs="Times New Roman"/>
                <w:color w:val="#000000"/>
                <w:sz w:val="24"/>
                <w:szCs w:val="24"/>
              </w:rPr>
              <w:t> 1.	Интеллектуальная среда университета как единство исследования и преподава-ния.</w:t>
            </w:r>
          </w:p>
          <w:p>
            <w:pPr>
              <w:jc w:val="left"/>
              <w:spacing w:after="0" w:line="240" w:lineRule="auto"/>
              <w:rPr>
                <w:sz w:val="24"/>
                <w:szCs w:val="24"/>
              </w:rPr>
            </w:pPr>
            <w:r>
              <w:rPr>
                <w:rFonts w:ascii="Times New Roman" w:hAnsi="Times New Roman" w:cs="Times New Roman"/>
                <w:color w:val="#000000"/>
                <w:sz w:val="24"/>
                <w:szCs w:val="24"/>
              </w:rPr>
              <w:t> 2.	Интерактивные формы и методы как активизация деятельности студентов.</w:t>
            </w:r>
          </w:p>
          <w:p>
            <w:pPr>
              <w:jc w:val="left"/>
              <w:spacing w:after="0" w:line="240" w:lineRule="auto"/>
              <w:rPr>
                <w:sz w:val="24"/>
                <w:szCs w:val="24"/>
              </w:rPr>
            </w:pPr>
            <w:r>
              <w:rPr>
                <w:rFonts w:ascii="Times New Roman" w:hAnsi="Times New Roman" w:cs="Times New Roman"/>
                <w:color w:val="#000000"/>
                <w:sz w:val="24"/>
                <w:szCs w:val="24"/>
              </w:rPr>
              <w:t> 3.	Методы активизации деятельности: дискуссия; проблемная ситуация; «мозговой штурм»; игровые имитационные ситуации и проекты.</w:t>
            </w:r>
          </w:p>
          <w:p>
            <w:pPr>
              <w:jc w:val="left"/>
              <w:spacing w:after="0" w:line="240" w:lineRule="auto"/>
              <w:rPr>
                <w:sz w:val="24"/>
                <w:szCs w:val="24"/>
              </w:rPr>
            </w:pPr>
            <w:r>
              <w:rPr>
                <w:rFonts w:ascii="Times New Roman" w:hAnsi="Times New Roman" w:cs="Times New Roman"/>
                <w:color w:val="#000000"/>
                <w:sz w:val="24"/>
                <w:szCs w:val="24"/>
              </w:rPr>
              <w:t> 4.	Понятие интерактивных методов и их преимущество.</w:t>
            </w:r>
          </w:p>
          <w:p>
            <w:pPr>
              <w:jc w:val="left"/>
              <w:spacing w:after="0" w:line="240" w:lineRule="auto"/>
              <w:rPr>
                <w:sz w:val="24"/>
                <w:szCs w:val="24"/>
              </w:rPr>
            </w:pPr>
            <w:r>
              <w:rPr>
                <w:rFonts w:ascii="Times New Roman" w:hAnsi="Times New Roman" w:cs="Times New Roman"/>
                <w:color w:val="#000000"/>
                <w:sz w:val="24"/>
                <w:szCs w:val="24"/>
              </w:rPr>
              <w:t> 5.	Интерактивные методы и их характеристика: комплексные ситуационные задачи; webквесты; кейс-стадии; деловые игры; тесты действия.</w:t>
            </w:r>
          </w:p>
          <w:p>
            <w:pPr>
              <w:jc w:val="left"/>
              <w:spacing w:after="0" w:line="240" w:lineRule="auto"/>
              <w:rPr>
                <w:sz w:val="24"/>
                <w:szCs w:val="24"/>
              </w:rPr>
            </w:pPr>
            <w:r>
              <w:rPr>
                <w:rFonts w:ascii="Times New Roman" w:hAnsi="Times New Roman" w:cs="Times New Roman"/>
                <w:color w:val="#000000"/>
                <w:sz w:val="24"/>
                <w:szCs w:val="24"/>
              </w:rPr>
              <w:t> 6.	Сущность интерактивного обучения.</w:t>
            </w:r>
          </w:p>
          <w:p>
            <w:pPr>
              <w:jc w:val="left"/>
              <w:spacing w:after="0" w:line="240" w:lineRule="auto"/>
              <w:rPr>
                <w:sz w:val="24"/>
                <w:szCs w:val="24"/>
              </w:rPr>
            </w:pPr>
            <w:r>
              <w:rPr>
                <w:rFonts w:ascii="Times New Roman" w:hAnsi="Times New Roman" w:cs="Times New Roman"/>
                <w:color w:val="#000000"/>
                <w:sz w:val="24"/>
                <w:szCs w:val="24"/>
              </w:rPr>
              <w:t> 7.	Организационные формы для формирования исследовательских компетенций: се-минар, конференция, круглый стол, форум, дискуссионная площадка и др.</w:t>
            </w:r>
          </w:p>
          <w:p>
            <w:pPr>
              <w:jc w:val="left"/>
              <w:spacing w:after="0" w:line="240" w:lineRule="auto"/>
              <w:rPr>
                <w:sz w:val="24"/>
                <w:szCs w:val="24"/>
              </w:rPr>
            </w:pPr>
            <w:r>
              <w:rPr>
                <w:rFonts w:ascii="Times New Roman" w:hAnsi="Times New Roman" w:cs="Times New Roman"/>
                <w:color w:val="#000000"/>
                <w:sz w:val="24"/>
                <w:szCs w:val="24"/>
              </w:rPr>
              <w:t> 8.	Академическая и коллективнотворческая форма проведения методологического семинара.</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Оценка исследовательских компетенций студентов</w:t>
            </w:r>
          </w:p>
        </w:tc>
      </w:tr>
      <w:tr>
        <w:trPr>
          <w:trHeight w:hRule="exact" w:val="21.31518"/>
        </w:trPr>
        <w:tc>
          <w:tcPr>
            <w:tcW w:w="9640" w:type="dxa"/>
          </w:tcPr>
          <w:p/>
        </w:tc>
      </w:tr>
      <w:tr>
        <w:trPr>
          <w:trHeight w:hRule="exact" w:val="3843.31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Традиционные оценочные средства для оценки сформированности компетенций. Три основные функции фондов оценочных средств.</w:t>
            </w:r>
          </w:p>
          <w:p>
            <w:pPr>
              <w:jc w:val="left"/>
              <w:spacing w:after="0" w:line="240" w:lineRule="auto"/>
              <w:rPr>
                <w:sz w:val="24"/>
                <w:szCs w:val="24"/>
              </w:rPr>
            </w:pPr>
            <w:r>
              <w:rPr>
                <w:rFonts w:ascii="Times New Roman" w:hAnsi="Times New Roman" w:cs="Times New Roman"/>
                <w:color w:val="#000000"/>
                <w:sz w:val="24"/>
                <w:szCs w:val="24"/>
              </w:rPr>
              <w:t> 2.	Образовательный результат и компетенции, этапы оценки образовательного ре-зультата.</w:t>
            </w:r>
          </w:p>
          <w:p>
            <w:pPr>
              <w:jc w:val="left"/>
              <w:spacing w:after="0" w:line="240" w:lineRule="auto"/>
              <w:rPr>
                <w:sz w:val="24"/>
                <w:szCs w:val="24"/>
              </w:rPr>
            </w:pPr>
            <w:r>
              <w:rPr>
                <w:rFonts w:ascii="Times New Roman" w:hAnsi="Times New Roman" w:cs="Times New Roman"/>
                <w:color w:val="#000000"/>
                <w:sz w:val="24"/>
                <w:szCs w:val="24"/>
              </w:rPr>
              <w:t> 3.	Кластер компетенций как набор тесно связанных между собой компетенций, объ- единенных по определенным признакам.</w:t>
            </w:r>
          </w:p>
          <w:p>
            <w:pPr>
              <w:jc w:val="left"/>
              <w:spacing w:after="0" w:line="240" w:lineRule="auto"/>
              <w:rPr>
                <w:sz w:val="24"/>
                <w:szCs w:val="24"/>
              </w:rPr>
            </w:pPr>
            <w:r>
              <w:rPr>
                <w:rFonts w:ascii="Times New Roman" w:hAnsi="Times New Roman" w:cs="Times New Roman"/>
                <w:color w:val="#000000"/>
                <w:sz w:val="24"/>
                <w:szCs w:val="24"/>
              </w:rPr>
              <w:t> 4.	Группы исследовательских компетенций: аналитические, информационные, про-ектные, коммуникативные.</w:t>
            </w:r>
          </w:p>
          <w:p>
            <w:pPr>
              <w:jc w:val="left"/>
              <w:spacing w:after="0" w:line="240" w:lineRule="auto"/>
              <w:rPr>
                <w:sz w:val="24"/>
                <w:szCs w:val="24"/>
              </w:rPr>
            </w:pPr>
            <w:r>
              <w:rPr>
                <w:rFonts w:ascii="Times New Roman" w:hAnsi="Times New Roman" w:cs="Times New Roman"/>
                <w:color w:val="#000000"/>
                <w:sz w:val="24"/>
                <w:szCs w:val="24"/>
              </w:rPr>
              <w:t> 5.	Образовательный результат и аналитические компетенции: эссе, аналитический отчет по результатам практики, разработки решения комплексной ситуационной задачи.</w:t>
            </w:r>
          </w:p>
          <w:p>
            <w:pPr>
              <w:jc w:val="left"/>
              <w:spacing w:after="0" w:line="240" w:lineRule="auto"/>
              <w:rPr>
                <w:sz w:val="24"/>
                <w:szCs w:val="24"/>
              </w:rPr>
            </w:pPr>
            <w:r>
              <w:rPr>
                <w:rFonts w:ascii="Times New Roman" w:hAnsi="Times New Roman" w:cs="Times New Roman"/>
                <w:color w:val="#000000"/>
                <w:sz w:val="24"/>
                <w:szCs w:val="24"/>
              </w:rPr>
              <w:t> 6.	Образовательный результат и информационные компетенции: аннотации, резюме, доклад, реферат.</w:t>
            </w:r>
          </w:p>
          <w:p>
            <w:pPr>
              <w:jc w:val="left"/>
              <w:spacing w:after="0" w:line="240" w:lineRule="auto"/>
              <w:rPr>
                <w:sz w:val="24"/>
                <w:szCs w:val="24"/>
              </w:rPr>
            </w:pPr>
            <w:r>
              <w:rPr>
                <w:rFonts w:ascii="Times New Roman" w:hAnsi="Times New Roman" w:cs="Times New Roman"/>
                <w:color w:val="#000000"/>
                <w:sz w:val="24"/>
                <w:szCs w:val="24"/>
              </w:rPr>
              <w:t> 7.	Проектные компетенции и образовательный результат. Оценки проекта.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Наиболее типичные формы научной коммуникации: обзор литературы, доклад, реферат, презентация, статья.</w:t>
            </w:r>
          </w:p>
        </w:tc>
      </w:tr>
      <w:tr>
        <w:trPr>
          <w:trHeight w:hRule="exact" w:val="8.084989"/>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Курсовая работа как комплексная профес-сиональная проба в исследовательской деятельно-сти</w:t>
            </w:r>
          </w:p>
        </w:tc>
      </w:tr>
      <w:tr>
        <w:trPr>
          <w:trHeight w:hRule="exact" w:val="21.31507"/>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Место курсовой работы в структуре образовательной программы и ее направлен-ность.</w:t>
            </w:r>
          </w:p>
          <w:p>
            <w:pPr>
              <w:jc w:val="left"/>
              <w:spacing w:after="0" w:line="240" w:lineRule="auto"/>
              <w:rPr>
                <w:sz w:val="24"/>
                <w:szCs w:val="24"/>
              </w:rPr>
            </w:pPr>
            <w:r>
              <w:rPr>
                <w:rFonts w:ascii="Times New Roman" w:hAnsi="Times New Roman" w:cs="Times New Roman"/>
                <w:color w:val="#000000"/>
                <w:sz w:val="24"/>
                <w:szCs w:val="24"/>
              </w:rPr>
              <w:t> 2.	Организация работы студента над курсовым исследованием.</w:t>
            </w:r>
          </w:p>
          <w:p>
            <w:pPr>
              <w:jc w:val="left"/>
              <w:spacing w:after="0" w:line="240" w:lineRule="auto"/>
              <w:rPr>
                <w:sz w:val="24"/>
                <w:szCs w:val="24"/>
              </w:rPr>
            </w:pPr>
            <w:r>
              <w:rPr>
                <w:rFonts w:ascii="Times New Roman" w:hAnsi="Times New Roman" w:cs="Times New Roman"/>
                <w:color w:val="#000000"/>
                <w:sz w:val="24"/>
                <w:szCs w:val="24"/>
              </w:rPr>
              <w:t> 3.	Структура курсовой работы и общие методические рекомендации по ее содержа-нию.</w:t>
            </w:r>
          </w:p>
          <w:p>
            <w:pPr>
              <w:jc w:val="left"/>
              <w:spacing w:after="0" w:line="240" w:lineRule="auto"/>
              <w:rPr>
                <w:sz w:val="24"/>
                <w:szCs w:val="24"/>
              </w:rPr>
            </w:pPr>
            <w:r>
              <w:rPr>
                <w:rFonts w:ascii="Times New Roman" w:hAnsi="Times New Roman" w:cs="Times New Roman"/>
                <w:color w:val="#000000"/>
                <w:sz w:val="24"/>
                <w:szCs w:val="24"/>
              </w:rPr>
              <w:t> 4.	Методические рекомендации по предметному содержанию курсовой работы.</w:t>
            </w:r>
          </w:p>
          <w:p>
            <w:pPr>
              <w:jc w:val="left"/>
              <w:spacing w:after="0" w:line="240" w:lineRule="auto"/>
              <w:rPr>
                <w:sz w:val="24"/>
                <w:szCs w:val="24"/>
              </w:rPr>
            </w:pPr>
            <w:r>
              <w:rPr>
                <w:rFonts w:ascii="Times New Roman" w:hAnsi="Times New Roman" w:cs="Times New Roman"/>
                <w:color w:val="#000000"/>
                <w:sz w:val="24"/>
                <w:szCs w:val="24"/>
              </w:rPr>
              <w:t> 5.	Оформление курсовой работы</w:t>
            </w:r>
          </w:p>
        </w:tc>
      </w:tr>
      <w:tr>
        <w:trPr>
          <w:trHeight w:hRule="exact" w:val="8.085045"/>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Педагогическое сопровождение исследова-тельской работы обучающихся по подготовке ВКР (магистерской диссертации) Образцы и ошибки в тексте ВКР (магистерской диссертации).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Вопросы для обсуждения.</w:t>
            </w:r>
          </w:p>
          <w:p>
            <w:pPr>
              <w:jc w:val="left"/>
              <w:spacing w:after="0" w:line="240" w:lineRule="auto"/>
              <w:rPr>
                <w:sz w:val="24"/>
                <w:szCs w:val="24"/>
              </w:rPr>
            </w:pPr>
            <w:r>
              <w:rPr>
                <w:rFonts w:ascii="Times New Roman" w:hAnsi="Times New Roman" w:cs="Times New Roman"/>
                <w:color w:val="#000000"/>
                <w:sz w:val="24"/>
                <w:szCs w:val="24"/>
              </w:rPr>
              <w:t> 1.	Этапы работы над магистерской диссертацией. Индивидуальный план НИР.</w:t>
            </w:r>
          </w:p>
          <w:p>
            <w:pPr>
              <w:jc w:val="left"/>
              <w:spacing w:after="0" w:line="240" w:lineRule="auto"/>
              <w:rPr>
                <w:sz w:val="24"/>
                <w:szCs w:val="24"/>
              </w:rPr>
            </w:pPr>
            <w:r>
              <w:rPr>
                <w:rFonts w:ascii="Times New Roman" w:hAnsi="Times New Roman" w:cs="Times New Roman"/>
                <w:color w:val="#000000"/>
                <w:sz w:val="24"/>
                <w:szCs w:val="24"/>
              </w:rPr>
              <w:t> 2.	Методические требования к введению.</w:t>
            </w:r>
          </w:p>
          <w:p>
            <w:pPr>
              <w:jc w:val="left"/>
              <w:spacing w:after="0" w:line="240" w:lineRule="auto"/>
              <w:rPr>
                <w:sz w:val="24"/>
                <w:szCs w:val="24"/>
              </w:rPr>
            </w:pPr>
            <w:r>
              <w:rPr>
                <w:rFonts w:ascii="Times New Roman" w:hAnsi="Times New Roman" w:cs="Times New Roman"/>
                <w:color w:val="#000000"/>
                <w:sz w:val="24"/>
                <w:szCs w:val="24"/>
              </w:rPr>
              <w:t> 3.	Методические требования к основной части магистерской диссертации.</w:t>
            </w:r>
          </w:p>
          <w:p>
            <w:pPr>
              <w:jc w:val="left"/>
              <w:spacing w:after="0" w:line="240" w:lineRule="auto"/>
              <w:rPr>
                <w:sz w:val="24"/>
                <w:szCs w:val="24"/>
              </w:rPr>
            </w:pPr>
            <w:r>
              <w:rPr>
                <w:rFonts w:ascii="Times New Roman" w:hAnsi="Times New Roman" w:cs="Times New Roman"/>
                <w:color w:val="#000000"/>
                <w:sz w:val="24"/>
                <w:szCs w:val="24"/>
              </w:rPr>
              <w:t> 4.	Требования к оформлению магистерской диссертации.</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«Педагогическое сопровождение исследовательской работы обучающихся» / Шмачилина-Цибенко С.В..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учебно-исследовательской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978-5-534-08818-2.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https://urait.ru/bcode/437683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Организационно-педагогическое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группы</w:t>
            </w:r>
            <w:r>
              <w:rPr/>
              <w:t xml:space="preserve"> </w:t>
            </w:r>
            <w:r>
              <w:rPr>
                <w:rFonts w:ascii="Times New Roman" w:hAnsi="Times New Roman" w:cs="Times New Roman"/>
                <w:color w:val="#000000"/>
                <w:sz w:val="24"/>
                <w:szCs w:val="24"/>
              </w:rPr>
              <w:t>(курса)</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https://urait.ru/bcode/438324</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Курсовая</w:t>
            </w:r>
            <w:r>
              <w:rPr/>
              <w:t xml:space="preserve"> </w:t>
            </w:r>
            <w:r>
              <w:rPr>
                <w:rFonts w:ascii="Times New Roman" w:hAnsi="Times New Roman" w:cs="Times New Roman"/>
                <w:color w:val="#000000"/>
                <w:sz w:val="24"/>
                <w:szCs w:val="24"/>
              </w:rPr>
              <w:t>работа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Неумоева-Колчеданцева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https://urait.ru/bcode/442021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Загвязинский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978-5-534-07865-7.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https://urait.ru/bcode/437925</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Магистерская</w:t>
            </w:r>
            <w:r>
              <w:rPr/>
              <w:t xml:space="preserve"> </w:t>
            </w:r>
            <w:r>
              <w:rPr>
                <w:rFonts w:ascii="Times New Roman" w:hAnsi="Times New Roman" w:cs="Times New Roman"/>
                <w:color w:val="#000000"/>
                <w:sz w:val="24"/>
                <w:szCs w:val="24"/>
              </w:rPr>
              <w:t>диссертация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978-5-534-09444-2.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https://urait.ru/bcode/442041</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Образцов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https://urait.ru/bcode/438230</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научно-педагогического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Коржуев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978-5-534-10426-4.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https://urait.ru/bcode/430008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Крулехт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978-5-534-05461-3.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https://urait.ru/bcode/441148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572.0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14.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2023-2024_ФГОС3++2023_Маг-ЗФО-ПО(Иннов)(23)_plx_Педагогическое сопровождение исследовательской работы обучающихся</dc:title>
  <dc:creator>FastReport.NET</dc:creator>
</cp:coreProperties>
</file>